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30B0" w14:textId="38AD9E02" w:rsidR="00C205FB" w:rsidRDefault="00C205FB">
      <w:r>
        <w:t>Thank you for the opportunity to comment on the TGS Otway Basin 3D Multi-Client Marine Seismic Survey (‘seismic survey</w:t>
      </w:r>
      <w:r w:rsidR="00AD1607">
        <w:t>’</w:t>
      </w:r>
      <w:r>
        <w:t>) Environmental Plan.</w:t>
      </w:r>
    </w:p>
    <w:p w14:paraId="248EF068" w14:textId="77777777" w:rsidR="006431FB" w:rsidRDefault="000D2B33">
      <w:r w:rsidRPr="00257DC5">
        <w:t xml:space="preserve">I am the </w:t>
      </w:r>
      <w:r w:rsidR="006431FB" w:rsidRPr="006431FB">
        <w:rPr>
          <w:highlight w:val="yellow"/>
        </w:rPr>
        <w:t>Chair/President</w:t>
      </w:r>
      <w:r w:rsidRPr="00257DC5">
        <w:t xml:space="preserve"> of the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Pr="00257DC5">
        <w:t xml:space="preserve">, a </w:t>
      </w:r>
      <w:r w:rsidR="0054731A" w:rsidRPr="00257DC5">
        <w:t xml:space="preserve">surfing club based in </w:t>
      </w:r>
      <w:r w:rsidR="006431FB" w:rsidRPr="006431FB">
        <w:rPr>
          <w:highlight w:val="yellow"/>
        </w:rPr>
        <w:t>[Location]</w:t>
      </w:r>
      <w:r w:rsidR="00257DC5" w:rsidRPr="00257DC5">
        <w:t xml:space="preserve">. </w:t>
      </w:r>
      <w:r w:rsidR="006431FB" w:rsidRPr="006431FB">
        <w:rPr>
          <w:highlight w:val="yellow"/>
        </w:rPr>
        <w:t>[Describe how many members in the Club]</w:t>
      </w:r>
      <w:r w:rsidRPr="00257DC5">
        <w:t>.</w:t>
      </w:r>
      <w:r w:rsidR="0054731A">
        <w:t xml:space="preserve"> </w:t>
      </w:r>
    </w:p>
    <w:p w14:paraId="39941FDF" w14:textId="5A8B1419" w:rsidR="00911655" w:rsidRDefault="00250D06">
      <w:r>
        <w:t xml:space="preserve">As surfers, all </w:t>
      </w:r>
      <w:r w:rsidR="006431FB">
        <w:t>our</w:t>
      </w:r>
      <w:r>
        <w:t xml:space="preserve"> members are marine users of the coastal environments and sea country that span Victoria’s western coast from Melbourne (</w:t>
      </w:r>
      <w:proofErr w:type="spellStart"/>
      <w:r>
        <w:t>Naarm</w:t>
      </w:r>
      <w:proofErr w:type="spellEnd"/>
      <w:r>
        <w:t xml:space="preserve">) to the South Australian border. The physical and natural resources that cover these environments are critical to our wellbeing, individually and as a community. </w:t>
      </w:r>
      <w:r w:rsidR="00911655">
        <w:t xml:space="preserve">Our health, wellbeing and social connections rely on these environments and any disruption to them, whether temporary or permanent, has significant impacts for us. </w:t>
      </w:r>
    </w:p>
    <w:p w14:paraId="171BDC32" w14:textId="51DAFEC4" w:rsidR="0054731A" w:rsidRDefault="00AD2FA3">
      <w:r>
        <w:t xml:space="preserve">We also acknowledge the continuing connection and cultural practices of the First Nations peoples who have been stewards of the Sea Country extending across the coastal areas now known as Victoria since time immemorial. We note that their ability to practice their culture is a human right protected by Australian and international human rights law. Accordingly, we do not support any disruption to cultural practices and </w:t>
      </w:r>
      <w:proofErr w:type="spellStart"/>
      <w:r>
        <w:t>songlines</w:t>
      </w:r>
      <w:proofErr w:type="spellEnd"/>
      <w:r>
        <w:t xml:space="preserve"> of those First Nations peoples related to whale migration pathways and breeding cycles which are at high risk due to the seismic survey.</w:t>
      </w:r>
    </w:p>
    <w:p w14:paraId="1125BCD3" w14:textId="050FDC42" w:rsidR="0054731A" w:rsidRPr="0054731A" w:rsidRDefault="0054731A">
      <w:pPr>
        <w:rPr>
          <w:u w:val="single"/>
        </w:rPr>
      </w:pPr>
      <w:r w:rsidRPr="0054731A">
        <w:rPr>
          <w:u w:val="single"/>
        </w:rPr>
        <w:t xml:space="preserve">About </w:t>
      </w:r>
      <w:r w:rsidR="006431FB" w:rsidRPr="006431FB">
        <w:rPr>
          <w:highlight w:val="yellow"/>
          <w:u w:val="single"/>
        </w:rPr>
        <w:t>[</w:t>
      </w:r>
      <w:proofErr w:type="spellStart"/>
      <w:r w:rsidR="006431FB" w:rsidRPr="006431FB">
        <w:rPr>
          <w:highlight w:val="yellow"/>
          <w:u w:val="single"/>
        </w:rPr>
        <w:t>Boardriders</w:t>
      </w:r>
      <w:proofErr w:type="spellEnd"/>
      <w:r w:rsidR="006431FB" w:rsidRPr="006431FB">
        <w:rPr>
          <w:highlight w:val="yellow"/>
          <w:u w:val="single"/>
        </w:rPr>
        <w:t xml:space="preserve"> Club]</w:t>
      </w:r>
    </w:p>
    <w:p w14:paraId="1E015DC0" w14:textId="3048A558" w:rsidR="00D477A8" w:rsidRDefault="006431FB" w:rsidP="000D2B33">
      <w:r w:rsidRPr="006431FB">
        <w:rPr>
          <w:highlight w:val="yellow"/>
        </w:rPr>
        <w:t>[Provide a description of your club]</w:t>
      </w:r>
    </w:p>
    <w:p w14:paraId="34E6B4B1" w14:textId="78AF8A4F" w:rsidR="00C22FB5" w:rsidRDefault="006431FB" w:rsidP="000D2B33">
      <w:r w:rsidRPr="006431FB">
        <w:rPr>
          <w:highlight w:val="yellow"/>
        </w:rPr>
        <w:t>[</w:t>
      </w:r>
      <w:proofErr w:type="spellStart"/>
      <w:r w:rsidRPr="006431FB">
        <w:rPr>
          <w:highlight w:val="yellow"/>
        </w:rPr>
        <w:t>Boardriders</w:t>
      </w:r>
      <w:proofErr w:type="spellEnd"/>
      <w:r w:rsidRPr="006431FB">
        <w:rPr>
          <w:highlight w:val="yellow"/>
        </w:rPr>
        <w:t xml:space="preserve"> Club]</w:t>
      </w:r>
      <w:r w:rsidR="000D2B33">
        <w:t xml:space="preserve"> </w:t>
      </w:r>
      <w:r w:rsidR="00387FDE">
        <w:t xml:space="preserve">is a </w:t>
      </w:r>
      <w:r w:rsidR="008B50C9">
        <w:t>‘</w:t>
      </w:r>
      <w:r w:rsidR="00387FDE" w:rsidRPr="008B50C9">
        <w:t>relevant person</w:t>
      </w:r>
      <w:r w:rsidR="008B50C9">
        <w:t>’</w:t>
      </w:r>
      <w:r w:rsidR="00387FDE">
        <w:t xml:space="preserve"> under regulation 11A(d) of the </w:t>
      </w:r>
      <w:r w:rsidR="00387FDE" w:rsidRPr="007C48E8">
        <w:rPr>
          <w:i/>
          <w:iCs/>
        </w:rPr>
        <w:t>Offshore Petroleum and Greenhouse Gas Storage (Environment) Regulations 2009</w:t>
      </w:r>
      <w:r w:rsidR="00387FDE" w:rsidRPr="007C48E8">
        <w:t xml:space="preserve"> (</w:t>
      </w:r>
      <w:proofErr w:type="spellStart"/>
      <w:r w:rsidR="00387FDE" w:rsidRPr="007C48E8">
        <w:t>Cth</w:t>
      </w:r>
      <w:proofErr w:type="spellEnd"/>
      <w:r w:rsidR="00387FDE" w:rsidRPr="007C48E8">
        <w:t>)</w:t>
      </w:r>
      <w:r w:rsidR="00387FDE">
        <w:t xml:space="preserve">, as it is an organisation whose functions, interests and activities may be affected by the seismic survey to be carried out under the Environmental Plan. Specifically, the functions, </w:t>
      </w:r>
      <w:proofErr w:type="gramStart"/>
      <w:r w:rsidR="00387FDE">
        <w:t>interests</w:t>
      </w:r>
      <w:proofErr w:type="gramEnd"/>
      <w:r w:rsidR="00387FDE">
        <w:t xml:space="preserve"> and activities of </w:t>
      </w:r>
      <w:r w:rsidRPr="006431FB">
        <w:rPr>
          <w:highlight w:val="yellow"/>
        </w:rPr>
        <w:t>[</w:t>
      </w:r>
      <w:proofErr w:type="spellStart"/>
      <w:r w:rsidRPr="006431FB">
        <w:rPr>
          <w:highlight w:val="yellow"/>
        </w:rPr>
        <w:t>Boardriders</w:t>
      </w:r>
      <w:proofErr w:type="spellEnd"/>
      <w:r w:rsidRPr="006431FB">
        <w:rPr>
          <w:highlight w:val="yellow"/>
        </w:rPr>
        <w:t xml:space="preserve"> Club]</w:t>
      </w:r>
      <w:r w:rsidR="00387FDE">
        <w:t xml:space="preserve"> involve </w:t>
      </w:r>
      <w:r w:rsidR="00677973">
        <w:t xml:space="preserve">supporting the participation of our members and supporters in surfing and </w:t>
      </w:r>
      <w:r w:rsidR="00387FDE">
        <w:t>the</w:t>
      </w:r>
      <w:r w:rsidR="000D2B33">
        <w:t xml:space="preserve"> Environment that May Be Affected (EMBA) includes beaches, breaks and surf spots that are used frequently </w:t>
      </w:r>
      <w:r w:rsidR="000D2B33" w:rsidRPr="000D2B33">
        <w:t>by our members</w:t>
      </w:r>
      <w:r w:rsidR="00CA6F22">
        <w:t xml:space="preserve"> </w:t>
      </w:r>
      <w:r w:rsidR="00387FDE">
        <w:t xml:space="preserve">and </w:t>
      </w:r>
      <w:r w:rsidR="00677973">
        <w:t xml:space="preserve">for </w:t>
      </w:r>
      <w:r w:rsidR="00CA6F22">
        <w:t xml:space="preserve">surf </w:t>
      </w:r>
      <w:r w:rsidR="00677973">
        <w:t xml:space="preserve">events </w:t>
      </w:r>
      <w:r w:rsidR="00CA6F22">
        <w:t xml:space="preserve">and gatherings </w:t>
      </w:r>
      <w:r w:rsidR="00677973">
        <w:t xml:space="preserve">held by </w:t>
      </w:r>
      <w:r w:rsidRPr="006431FB">
        <w:rPr>
          <w:highlight w:val="yellow"/>
        </w:rPr>
        <w:t>[</w:t>
      </w:r>
      <w:proofErr w:type="spellStart"/>
      <w:r w:rsidRPr="006431FB">
        <w:rPr>
          <w:highlight w:val="yellow"/>
        </w:rPr>
        <w:t>Boardriders</w:t>
      </w:r>
      <w:proofErr w:type="spellEnd"/>
      <w:r w:rsidRPr="006431FB">
        <w:rPr>
          <w:highlight w:val="yellow"/>
        </w:rPr>
        <w:t xml:space="preserve"> Club]</w:t>
      </w:r>
      <w:r w:rsidR="000D2B33" w:rsidRPr="000D2B33">
        <w:t>.</w:t>
      </w:r>
      <w:r w:rsidR="000D2B33">
        <w:t xml:space="preserve"> This includes the </w:t>
      </w:r>
      <w:r w:rsidR="00922AA9">
        <w:t xml:space="preserve">coastline from </w:t>
      </w:r>
      <w:r w:rsidR="00C22FB5">
        <w:t>the Bellarine Peninsula to Port Fairy and further west</w:t>
      </w:r>
      <w:r w:rsidR="00CA6F22">
        <w:t xml:space="preserve"> of the </w:t>
      </w:r>
      <w:proofErr w:type="spellStart"/>
      <w:r w:rsidR="00CA6F22">
        <w:t>Otways</w:t>
      </w:r>
      <w:proofErr w:type="spellEnd"/>
      <w:r w:rsidR="00C22FB5">
        <w:t xml:space="preserve">. </w:t>
      </w:r>
    </w:p>
    <w:p w14:paraId="394EB923" w14:textId="745DDFB3" w:rsidR="00D477A8" w:rsidRPr="00D477A8" w:rsidRDefault="006431FB">
      <w:pPr>
        <w:rPr>
          <w:u w:val="single"/>
        </w:rPr>
      </w:pPr>
      <w:r>
        <w:rPr>
          <w:u w:val="single"/>
        </w:rPr>
        <w:t>C</w:t>
      </w:r>
      <w:r w:rsidR="00D477A8">
        <w:rPr>
          <w:u w:val="single"/>
        </w:rPr>
        <w:t xml:space="preserve">omments on </w:t>
      </w:r>
      <w:r w:rsidR="00784B19">
        <w:rPr>
          <w:u w:val="single"/>
        </w:rPr>
        <w:t xml:space="preserve">TGS Otway Basin </w:t>
      </w:r>
      <w:r w:rsidR="00D477A8" w:rsidRPr="00D477A8">
        <w:rPr>
          <w:u w:val="single"/>
        </w:rPr>
        <w:t xml:space="preserve">3D MC MSS Environmental Plan </w:t>
      </w:r>
    </w:p>
    <w:p w14:paraId="205EA178" w14:textId="1B2CAB78" w:rsidR="006A40D1" w:rsidRDefault="007C48E8">
      <w:r>
        <w:t xml:space="preserve">For the reasons outlined below,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005909F4">
        <w:t xml:space="preserve"> </w:t>
      </w:r>
      <w:r>
        <w:t>consider</w:t>
      </w:r>
      <w:r w:rsidR="00250D06">
        <w:t>s</w:t>
      </w:r>
      <w:r>
        <w:t xml:space="preserve"> that t</w:t>
      </w:r>
      <w:r w:rsidRPr="007C48E8">
        <w:t xml:space="preserve">he Environmental Plan </w:t>
      </w:r>
      <w:r w:rsidR="00250D06">
        <w:t xml:space="preserve">does not </w:t>
      </w:r>
      <w:r w:rsidRPr="007C48E8">
        <w:t xml:space="preserve">meet </w:t>
      </w:r>
      <w:r>
        <w:t xml:space="preserve">the </w:t>
      </w:r>
      <w:r w:rsidRPr="007C48E8">
        <w:t xml:space="preserve">criteria for NOPSEMA’s acceptance, set out under regulation 10A of the </w:t>
      </w:r>
      <w:r w:rsidRPr="007C48E8">
        <w:rPr>
          <w:i/>
          <w:iCs/>
        </w:rPr>
        <w:t>Offshore Petroleum and Greenhouse Gas Storage (Environment) Regulations 2009</w:t>
      </w:r>
      <w:r w:rsidR="006A40D1">
        <w:t xml:space="preserve"> and should, therefore, be </w:t>
      </w:r>
      <w:r w:rsidR="005909F4">
        <w:t>refused</w:t>
      </w:r>
      <w:r w:rsidRPr="007C48E8">
        <w:t>.</w:t>
      </w:r>
      <w:r>
        <w:t xml:space="preserve"> </w:t>
      </w:r>
    </w:p>
    <w:p w14:paraId="426EC40A" w14:textId="77777777" w:rsidR="007E7C54" w:rsidRDefault="007E7C54" w:rsidP="007E7C54">
      <w:r>
        <w:t xml:space="preserve">The nature and scale of surfing within the broader EMBA is not sufficiently described in the Environmental Plan and the Environmental Plan is silent regarding any of the social, </w:t>
      </w:r>
      <w:proofErr w:type="gramStart"/>
      <w:r>
        <w:t>economic</w:t>
      </w:r>
      <w:proofErr w:type="gramEnd"/>
      <w:r>
        <w:t xml:space="preserve"> and cultural impacts that are a significant risk as a result of the proposed seismic survey.</w:t>
      </w:r>
    </w:p>
    <w:p w14:paraId="2E638D79" w14:textId="311C8D25" w:rsidR="007E7C54" w:rsidRDefault="007E7C54" w:rsidP="007E7C54">
      <w:r>
        <w:t>Relevant consideration has not been made for the social wellbeing of coastal communities. Indirect impacts from the seismic surveying on coastal areas have not been outlined. Impacts have the potential to disrupt social and recreational users of these spaces.</w:t>
      </w:r>
    </w:p>
    <w:p w14:paraId="00599814" w14:textId="69254A3D" w:rsidR="007E7C54" w:rsidRDefault="007E7C54" w:rsidP="007E7C54">
      <w:r>
        <w:t>We</w:t>
      </w:r>
      <w:r>
        <w:t xml:space="preserve"> </w:t>
      </w:r>
      <w:r>
        <w:t>are</w:t>
      </w:r>
      <w:r>
        <w:t xml:space="preserve"> of the view that key critical environmental impacts and risks have not been identified within the Environmental Plan, and where environmental impacts and risks have been outlined, the controls proposed to mitigate them are insufficient. </w:t>
      </w:r>
    </w:p>
    <w:p w14:paraId="082BD637" w14:textId="3A0CAB4C" w:rsidR="007E7C54" w:rsidRDefault="007E7C54" w:rsidP="007E7C54">
      <w:r>
        <w:t xml:space="preserve">Oil spills and other marine pollution at sea by TGS in undertaking the seismic survey and in potential oil and gas production activities are an unnecessary risk, particularly for surfers. The EMBA zone </w:t>
      </w:r>
      <w:r>
        <w:lastRenderedPageBreak/>
        <w:t xml:space="preserve">shows oil spills may reach much of the Victorian and Tasmanian coastlines that are inaccessible to enable amelioration of the damage. Further, many of the chemical dispersants utilised by industry to clean up oil spills are known carcinogens. The risks to human health, marine life and coastal ecologies have not been adequately addressed in the Environmental Plan, and </w:t>
      </w:r>
      <w:r>
        <w:t xml:space="preserve">we </w:t>
      </w:r>
      <w:r>
        <w:t>believe that a precautionary approach is required given the presence of these risks is reasonably foreseeable.</w:t>
      </w:r>
    </w:p>
    <w:p w14:paraId="569DEA6A" w14:textId="77777777" w:rsidR="007E7C54" w:rsidRDefault="007E7C54" w:rsidP="007E7C54">
      <w:r>
        <w:t>The proposal to conduct seismic surveying for oil and gas exploration in our oceans will cause direct harm to ocean ecosystems. As seismic surveying is a pathway to fossil fuel extraction, plans to continue exploration go directly against Australia's commitments to reduce greenhouse gas emissions by 43% from 2005 levels, and net zero emissions by 2050.</w:t>
      </w:r>
    </w:p>
    <w:p w14:paraId="020A5A74" w14:textId="7C712B1A" w:rsidR="006A40D1" w:rsidRPr="00892110" w:rsidRDefault="00DF5793" w:rsidP="006A40D1">
      <w:r>
        <w:t xml:space="preserve">The Environmental Plan </w:t>
      </w:r>
      <w:r w:rsidR="00723192">
        <w:t xml:space="preserve">does not address performance outcomes, measures and targets related to </w:t>
      </w:r>
      <w:r w:rsidR="00892110">
        <w:t xml:space="preserve">the </w:t>
      </w:r>
      <w:r w:rsidR="00E55CD9">
        <w:t xml:space="preserve">impacts of the seismic survey on surfing, as well as to surfing clubs, surfing schools and the related surfing industry that </w:t>
      </w:r>
      <w:r w:rsidR="00892110">
        <w:t xml:space="preserve">contributes significantly socially, </w:t>
      </w:r>
      <w:proofErr w:type="gramStart"/>
      <w:r w:rsidR="00892110">
        <w:t>recreationally</w:t>
      </w:r>
      <w:proofErr w:type="gramEnd"/>
      <w:r w:rsidR="00892110">
        <w:t xml:space="preserve"> and economically to Victoria and Australia. The environmental performance outcomes, standards and measures set out at section 7.1.7 of the Environmental Plan focus primarily on commercial fishing operators, and controls have not been identified for other marine users, including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00892110">
        <w:t xml:space="preserve"> (and any other surf or </w:t>
      </w:r>
      <w:proofErr w:type="spellStart"/>
      <w:r w:rsidR="00892110">
        <w:t>boardriders</w:t>
      </w:r>
      <w:proofErr w:type="spellEnd"/>
      <w:r w:rsidR="00892110">
        <w:t xml:space="preserve"> club) as ‘relevant persons’ within the meaning of the </w:t>
      </w:r>
      <w:r w:rsidR="00892110" w:rsidRPr="007C48E8">
        <w:rPr>
          <w:i/>
          <w:iCs/>
        </w:rPr>
        <w:t>Offshore Petroleum and Greenhouse Gas Storage (Environment) Regulations 2009</w:t>
      </w:r>
      <w:r w:rsidR="00892110">
        <w:t>.</w:t>
      </w:r>
    </w:p>
    <w:p w14:paraId="26DD2E75" w14:textId="3554F296" w:rsidR="006A40D1" w:rsidRPr="008B50C9" w:rsidRDefault="008B50C9" w:rsidP="006A40D1">
      <w:r>
        <w:t xml:space="preserve">As stated above,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t xml:space="preserve"> is a ‘relevant person’ under regulation 11A(d) of the </w:t>
      </w:r>
      <w:r w:rsidRPr="007C48E8">
        <w:rPr>
          <w:i/>
          <w:iCs/>
        </w:rPr>
        <w:t>Offshore Petroleum and Greenhouse Gas Storage (Environment) Regulations 2009</w:t>
      </w:r>
      <w:r>
        <w:t xml:space="preserve">. </w:t>
      </w:r>
      <w:r w:rsidR="00FE2997" w:rsidRPr="00FE2997">
        <w:rPr>
          <w:highlight w:val="yellow"/>
        </w:rPr>
        <w:t>[</w:t>
      </w:r>
      <w:proofErr w:type="spellStart"/>
      <w:r w:rsidR="00FE2997" w:rsidRPr="00FE2997">
        <w:rPr>
          <w:highlight w:val="yellow"/>
        </w:rPr>
        <w:t>Boardriders</w:t>
      </w:r>
      <w:proofErr w:type="spellEnd"/>
      <w:r w:rsidR="00FE2997" w:rsidRPr="00FE2997">
        <w:rPr>
          <w:highlight w:val="yellow"/>
        </w:rPr>
        <w:t xml:space="preserve"> Club]</w:t>
      </w:r>
      <w:r>
        <w:t xml:space="preserve"> has not </w:t>
      </w:r>
      <w:r w:rsidR="00784B19">
        <w:t xml:space="preserve">been contacted by </w:t>
      </w:r>
      <w:r w:rsidRPr="008B50C9">
        <w:t>TGS</w:t>
      </w:r>
      <w:r w:rsidR="00784B19">
        <w:t xml:space="preserve"> in relation to proposed activities, and in particular, no prior </w:t>
      </w:r>
      <w:r w:rsidR="00784B19">
        <w:rPr>
          <w:color w:val="000000"/>
          <w:shd w:val="clear" w:color="auto" w:fill="FFFFFF"/>
        </w:rPr>
        <w:t xml:space="preserve">information has been provided to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00784B19">
        <w:rPr>
          <w:color w:val="000000"/>
          <w:shd w:val="clear" w:color="auto" w:fill="FFFFFF"/>
        </w:rPr>
        <w:t xml:space="preserve"> to support an informed assessment of the possible consequences of the seismic survey on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00784B19">
        <w:rPr>
          <w:color w:val="000000"/>
          <w:shd w:val="clear" w:color="auto" w:fill="FFFFFF"/>
        </w:rPr>
        <w:t xml:space="preserve">’s functions, </w:t>
      </w:r>
      <w:proofErr w:type="gramStart"/>
      <w:r w:rsidR="00784B19">
        <w:rPr>
          <w:color w:val="000000"/>
          <w:shd w:val="clear" w:color="auto" w:fill="FFFFFF"/>
        </w:rPr>
        <w:t>interests</w:t>
      </w:r>
      <w:proofErr w:type="gramEnd"/>
      <w:r w:rsidR="00784B19">
        <w:rPr>
          <w:color w:val="000000"/>
          <w:shd w:val="clear" w:color="auto" w:fill="FFFFFF"/>
        </w:rPr>
        <w:t xml:space="preserve"> or activities. Because there has been no consultation with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00784B19">
        <w:rPr>
          <w:color w:val="000000"/>
          <w:shd w:val="clear" w:color="auto" w:fill="FFFFFF"/>
        </w:rPr>
        <w:t xml:space="preserve">, the Environmental Plan does not identify nor address any measures </w:t>
      </w:r>
      <w:r w:rsidR="00C205FB">
        <w:rPr>
          <w:color w:val="000000"/>
          <w:shd w:val="clear" w:color="auto" w:fill="FFFFFF"/>
        </w:rPr>
        <w:t xml:space="preserve">to mitigate or manage the foreseeable impacts and risks on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sidR="00C205FB">
        <w:rPr>
          <w:color w:val="000000"/>
          <w:shd w:val="clear" w:color="auto" w:fill="FFFFFF"/>
        </w:rPr>
        <w:t xml:space="preserve">’s activities </w:t>
      </w:r>
      <w:proofErr w:type="gramStart"/>
      <w:r w:rsidR="00C205FB">
        <w:rPr>
          <w:color w:val="000000"/>
          <w:shd w:val="clear" w:color="auto" w:fill="FFFFFF"/>
        </w:rPr>
        <w:t>as a consequence of</w:t>
      </w:r>
      <w:proofErr w:type="gramEnd"/>
      <w:r w:rsidR="00C205FB">
        <w:rPr>
          <w:color w:val="000000"/>
          <w:shd w:val="clear" w:color="auto" w:fill="FFFFFF"/>
        </w:rPr>
        <w:t xml:space="preserve"> the seismic survey.</w:t>
      </w:r>
      <w:r w:rsidR="00784B19">
        <w:t xml:space="preserve"> </w:t>
      </w:r>
    </w:p>
    <w:p w14:paraId="3EF866C7" w14:textId="0E17CFA9" w:rsidR="00DC217F" w:rsidRDefault="008B08A5">
      <w:pPr>
        <w:rPr>
          <w:color w:val="000000"/>
          <w:shd w:val="clear" w:color="auto" w:fill="FFFFFF"/>
        </w:rPr>
      </w:pPr>
      <w:r>
        <w:rPr>
          <w:color w:val="000000"/>
          <w:shd w:val="clear" w:color="auto" w:fill="FFFFFF"/>
        </w:rPr>
        <w:t xml:space="preserve">For the reasons set out above, </w:t>
      </w:r>
      <w:r w:rsidR="006431FB" w:rsidRPr="006431FB">
        <w:rPr>
          <w:highlight w:val="yellow"/>
        </w:rPr>
        <w:t>[</w:t>
      </w:r>
      <w:proofErr w:type="spellStart"/>
      <w:r w:rsidR="006431FB" w:rsidRPr="006431FB">
        <w:rPr>
          <w:highlight w:val="yellow"/>
        </w:rPr>
        <w:t>Boardriders</w:t>
      </w:r>
      <w:proofErr w:type="spellEnd"/>
      <w:r w:rsidR="006431FB" w:rsidRPr="006431FB">
        <w:rPr>
          <w:highlight w:val="yellow"/>
        </w:rPr>
        <w:t xml:space="preserve"> Club]</w:t>
      </w:r>
      <w:r>
        <w:rPr>
          <w:color w:val="000000"/>
          <w:shd w:val="clear" w:color="auto" w:fill="FFFFFF"/>
        </w:rPr>
        <w:t xml:space="preserve"> does not believe that the Environmental Plan complies with relevant law and regulations and therefore should not be accepted.</w:t>
      </w:r>
    </w:p>
    <w:p w14:paraId="7CEF0DC7" w14:textId="398503B5" w:rsidR="00832AFA" w:rsidRDefault="00832AFA">
      <w:pPr>
        <w:rPr>
          <w:color w:val="000000"/>
          <w:shd w:val="clear" w:color="auto" w:fill="FFFFFF"/>
        </w:rPr>
      </w:pPr>
      <w:r>
        <w:rPr>
          <w:color w:val="000000"/>
          <w:shd w:val="clear" w:color="auto" w:fill="FFFFFF"/>
        </w:rPr>
        <w:t xml:space="preserve">Should there be any further questions in relation to this submission, or to consult in relation to the proposed seismic survey, please contact </w:t>
      </w:r>
      <w:r w:rsidR="006431FB" w:rsidRPr="006431FB">
        <w:rPr>
          <w:color w:val="000000"/>
          <w:highlight w:val="yellow"/>
          <w:shd w:val="clear" w:color="auto" w:fill="FFFFFF"/>
        </w:rPr>
        <w:t>[Contact person] at [email address]</w:t>
      </w:r>
      <w:r>
        <w:rPr>
          <w:color w:val="000000"/>
          <w:shd w:val="clear" w:color="auto" w:fill="FFFFFF"/>
        </w:rPr>
        <w:t>.</w:t>
      </w:r>
    </w:p>
    <w:p w14:paraId="068F92BD" w14:textId="77777777" w:rsidR="00832AFA" w:rsidRDefault="00832AFA">
      <w:pPr>
        <w:rPr>
          <w:color w:val="000000"/>
          <w:shd w:val="clear" w:color="auto" w:fill="FFFFFF"/>
        </w:rPr>
      </w:pPr>
    </w:p>
    <w:p w14:paraId="100453C8" w14:textId="3E4D41A8" w:rsidR="00FF4453" w:rsidRDefault="00AD2FA3"/>
    <w:sectPr w:rsidR="00FF44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3EC5" w14:textId="77777777" w:rsidR="003A4CD8" w:rsidRDefault="003A4CD8" w:rsidP="003A4CD8">
      <w:pPr>
        <w:spacing w:after="0" w:line="240" w:lineRule="auto"/>
      </w:pPr>
      <w:r>
        <w:separator/>
      </w:r>
    </w:p>
  </w:endnote>
  <w:endnote w:type="continuationSeparator" w:id="0">
    <w:p w14:paraId="4D3FE532" w14:textId="77777777" w:rsidR="003A4CD8" w:rsidRDefault="003A4CD8" w:rsidP="003A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9413" w14:textId="77777777" w:rsidR="003A4CD8" w:rsidRDefault="003A4CD8" w:rsidP="003A4CD8">
      <w:pPr>
        <w:spacing w:after="0" w:line="240" w:lineRule="auto"/>
      </w:pPr>
      <w:r>
        <w:separator/>
      </w:r>
    </w:p>
  </w:footnote>
  <w:footnote w:type="continuationSeparator" w:id="0">
    <w:p w14:paraId="7D0E8301" w14:textId="77777777" w:rsidR="003A4CD8" w:rsidRDefault="003A4CD8" w:rsidP="003A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0F90" w14:textId="52E11978" w:rsidR="001D31F4" w:rsidRPr="001D31F4" w:rsidRDefault="001D31F4">
    <w:pPr>
      <w:pStyle w:val="Header"/>
      <w:rPr>
        <w:b/>
        <w:bCs/>
      </w:rPr>
    </w:pPr>
    <w:r w:rsidRPr="001D31F4">
      <w:rPr>
        <w:b/>
        <w:bCs/>
      </w:rPr>
      <w:t xml:space="preserve">DRAFT – </w:t>
    </w:r>
    <w:r w:rsidR="006431FB">
      <w:rPr>
        <w:b/>
        <w:bCs/>
      </w:rPr>
      <w:t xml:space="preserve">Template </w:t>
    </w:r>
    <w:proofErr w:type="spellStart"/>
    <w:r w:rsidR="006431FB">
      <w:rPr>
        <w:b/>
        <w:bCs/>
      </w:rPr>
      <w:t>Boardriders</w:t>
    </w:r>
    <w:proofErr w:type="spellEnd"/>
    <w:r w:rsidR="006431FB">
      <w:rPr>
        <w:b/>
        <w:bCs/>
      </w:rPr>
      <w:t xml:space="preserve"> </w:t>
    </w:r>
    <w:r w:rsidRPr="001D31F4">
      <w:rPr>
        <w:b/>
        <w:bCs/>
      </w:rPr>
      <w:t xml:space="preserve">Comment on Otway Basin Seismic Survey Environmental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5974"/>
    <w:multiLevelType w:val="multilevel"/>
    <w:tmpl w:val="F7A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29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D8"/>
    <w:rsid w:val="00054E9A"/>
    <w:rsid w:val="00085FF9"/>
    <w:rsid w:val="000D2B33"/>
    <w:rsid w:val="001D31F4"/>
    <w:rsid w:val="00250D06"/>
    <w:rsid w:val="00257DC5"/>
    <w:rsid w:val="00292CC7"/>
    <w:rsid w:val="00322642"/>
    <w:rsid w:val="00374295"/>
    <w:rsid w:val="00387FDE"/>
    <w:rsid w:val="003A3C54"/>
    <w:rsid w:val="003A4CD8"/>
    <w:rsid w:val="004C0FA4"/>
    <w:rsid w:val="0054731A"/>
    <w:rsid w:val="005909F4"/>
    <w:rsid w:val="005D024F"/>
    <w:rsid w:val="00601BA9"/>
    <w:rsid w:val="006428CE"/>
    <w:rsid w:val="006431FB"/>
    <w:rsid w:val="00677973"/>
    <w:rsid w:val="006A40D1"/>
    <w:rsid w:val="00723192"/>
    <w:rsid w:val="00746522"/>
    <w:rsid w:val="00784B19"/>
    <w:rsid w:val="007C48E8"/>
    <w:rsid w:val="007E7C54"/>
    <w:rsid w:val="00832AFA"/>
    <w:rsid w:val="00865F0C"/>
    <w:rsid w:val="00886032"/>
    <w:rsid w:val="00886151"/>
    <w:rsid w:val="00892110"/>
    <w:rsid w:val="008B08A5"/>
    <w:rsid w:val="008B50C9"/>
    <w:rsid w:val="008C6BA6"/>
    <w:rsid w:val="00911655"/>
    <w:rsid w:val="00921F6B"/>
    <w:rsid w:val="00922AA9"/>
    <w:rsid w:val="00AD1607"/>
    <w:rsid w:val="00AD2FA3"/>
    <w:rsid w:val="00B01CF6"/>
    <w:rsid w:val="00B11172"/>
    <w:rsid w:val="00BF46C9"/>
    <w:rsid w:val="00C15361"/>
    <w:rsid w:val="00C205FB"/>
    <w:rsid w:val="00C22FB5"/>
    <w:rsid w:val="00C9193A"/>
    <w:rsid w:val="00CA6F22"/>
    <w:rsid w:val="00D477A8"/>
    <w:rsid w:val="00DA20E0"/>
    <w:rsid w:val="00DC217F"/>
    <w:rsid w:val="00DF5793"/>
    <w:rsid w:val="00E55CD9"/>
    <w:rsid w:val="00E85BF0"/>
    <w:rsid w:val="00E85FF4"/>
    <w:rsid w:val="00F612A0"/>
    <w:rsid w:val="00FE2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831AD"/>
  <w15:chartTrackingRefBased/>
  <w15:docId w15:val="{274E585B-49DF-4788-BAA8-228996BA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A9"/>
    <w:pPr>
      <w:ind w:left="720"/>
      <w:contextualSpacing/>
    </w:pPr>
  </w:style>
  <w:style w:type="paragraph" w:styleId="Header">
    <w:name w:val="header"/>
    <w:basedOn w:val="Normal"/>
    <w:link w:val="HeaderChar"/>
    <w:uiPriority w:val="99"/>
    <w:unhideWhenUsed/>
    <w:rsid w:val="001D3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1F4"/>
  </w:style>
  <w:style w:type="paragraph" w:styleId="Footer">
    <w:name w:val="footer"/>
    <w:basedOn w:val="Normal"/>
    <w:link w:val="FooterChar"/>
    <w:uiPriority w:val="99"/>
    <w:unhideWhenUsed/>
    <w:rsid w:val="001D3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1F4"/>
  </w:style>
  <w:style w:type="character" w:styleId="Hyperlink">
    <w:name w:val="Hyperlink"/>
    <w:basedOn w:val="DefaultParagraphFont"/>
    <w:uiPriority w:val="99"/>
    <w:unhideWhenUsed/>
    <w:rsid w:val="00832AFA"/>
    <w:rPr>
      <w:color w:val="0563C1" w:themeColor="hyperlink"/>
      <w:u w:val="single"/>
    </w:rPr>
  </w:style>
  <w:style w:type="character" w:styleId="UnresolvedMention">
    <w:name w:val="Unresolved Mention"/>
    <w:basedOn w:val="DefaultParagraphFont"/>
    <w:uiPriority w:val="99"/>
    <w:semiHidden/>
    <w:unhideWhenUsed/>
    <w:rsid w:val="0083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3503">
      <w:bodyDiv w:val="1"/>
      <w:marLeft w:val="0"/>
      <w:marRight w:val="0"/>
      <w:marTop w:val="0"/>
      <w:marBottom w:val="0"/>
      <w:divBdr>
        <w:top w:val="none" w:sz="0" w:space="0" w:color="auto"/>
        <w:left w:val="none" w:sz="0" w:space="0" w:color="auto"/>
        <w:bottom w:val="none" w:sz="0" w:space="0" w:color="auto"/>
        <w:right w:val="none" w:sz="0" w:space="0" w:color="auto"/>
      </w:divBdr>
    </w:div>
    <w:div w:id="480394005">
      <w:bodyDiv w:val="1"/>
      <w:marLeft w:val="0"/>
      <w:marRight w:val="0"/>
      <w:marTop w:val="0"/>
      <w:marBottom w:val="0"/>
      <w:divBdr>
        <w:top w:val="none" w:sz="0" w:space="0" w:color="auto"/>
        <w:left w:val="none" w:sz="0" w:space="0" w:color="auto"/>
        <w:bottom w:val="none" w:sz="0" w:space="0" w:color="auto"/>
        <w:right w:val="none" w:sz="0" w:space="0" w:color="auto"/>
      </w:divBdr>
    </w:div>
    <w:div w:id="624502754">
      <w:bodyDiv w:val="1"/>
      <w:marLeft w:val="0"/>
      <w:marRight w:val="0"/>
      <w:marTop w:val="0"/>
      <w:marBottom w:val="0"/>
      <w:divBdr>
        <w:top w:val="none" w:sz="0" w:space="0" w:color="auto"/>
        <w:left w:val="none" w:sz="0" w:space="0" w:color="auto"/>
        <w:bottom w:val="none" w:sz="0" w:space="0" w:color="auto"/>
        <w:right w:val="none" w:sz="0" w:space="0" w:color="auto"/>
      </w:divBdr>
    </w:div>
    <w:div w:id="677732154">
      <w:bodyDiv w:val="1"/>
      <w:marLeft w:val="0"/>
      <w:marRight w:val="0"/>
      <w:marTop w:val="0"/>
      <w:marBottom w:val="0"/>
      <w:divBdr>
        <w:top w:val="none" w:sz="0" w:space="0" w:color="auto"/>
        <w:left w:val="none" w:sz="0" w:space="0" w:color="auto"/>
        <w:bottom w:val="none" w:sz="0" w:space="0" w:color="auto"/>
        <w:right w:val="none" w:sz="0" w:space="0" w:color="auto"/>
      </w:divBdr>
    </w:div>
    <w:div w:id="1356005439">
      <w:bodyDiv w:val="1"/>
      <w:marLeft w:val="0"/>
      <w:marRight w:val="0"/>
      <w:marTop w:val="0"/>
      <w:marBottom w:val="0"/>
      <w:divBdr>
        <w:top w:val="none" w:sz="0" w:space="0" w:color="auto"/>
        <w:left w:val="none" w:sz="0" w:space="0" w:color="auto"/>
        <w:bottom w:val="none" w:sz="0" w:space="0" w:color="auto"/>
        <w:right w:val="none" w:sz="0" w:space="0" w:color="auto"/>
      </w:divBdr>
    </w:div>
    <w:div w:id="15370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4EA7-DA6C-4D03-887B-0257FD2D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Ashika Kanhai (DFFH)</dc:creator>
  <cp:keywords/>
  <dc:description/>
  <cp:lastModifiedBy>Ashika Kanhai (DFFH)</cp:lastModifiedBy>
  <cp:revision>10</cp:revision>
  <dcterms:created xsi:type="dcterms:W3CDTF">2023-08-06T15:43:00Z</dcterms:created>
  <dcterms:modified xsi:type="dcterms:W3CDTF">2023-08-06T23:42:00Z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2023-08-06T10:28:48Z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0957b5a5-d556-4a10-860d-434b96275e17</vt:lpwstr>
  </property>
  <property fmtid="{D5CDD505-2E9C-101B-9397-08002B2CF9AE}" pid="8" name="MSIP_Label_3d6aa9fe-4ab7-4a7c-8e39-ccc0b3ffed53_ContentBits">
    <vt:lpwstr>0</vt:lpwstr>
  </property>
</Properties>
</file>